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04688" w14:textId="7B9FCCC5" w:rsidR="00766F9F" w:rsidRPr="0043380D" w:rsidRDefault="00766F9F" w:rsidP="00766F9F">
      <w:pPr>
        <w:pStyle w:val="1"/>
        <w:rPr>
          <w:rFonts w:ascii="Times New Roman" w:hAnsi="Times New Roman" w:cs="Times New Roman"/>
          <w:color w:val="ED7D31" w:themeColor="accent2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color w:val="ED7D31" w:themeColor="accent2"/>
          <w:sz w:val="24"/>
          <w:szCs w:val="24"/>
          <w:lang w:val="ru-RU"/>
        </w:rPr>
        <w:t xml:space="preserve">Система вознаграждения партнеров по объектам </w:t>
      </w:r>
      <w:r w:rsidRPr="00AE6A0F">
        <w:rPr>
          <w:rFonts w:ascii="Times New Roman" w:hAnsi="Times New Roman" w:cs="Times New Roman"/>
          <w:color w:val="ED7D31" w:themeColor="accent2"/>
          <w:sz w:val="24"/>
          <w:szCs w:val="24"/>
        </w:rPr>
        <w:t>St</w:t>
      </w:r>
      <w:r w:rsidRPr="00AE6A0F">
        <w:rPr>
          <w:rFonts w:ascii="Times New Roman" w:hAnsi="Times New Roman" w:cs="Times New Roman"/>
          <w:color w:val="ED7D31" w:themeColor="accent2"/>
          <w:sz w:val="24"/>
          <w:szCs w:val="24"/>
          <w:lang w:val="ru-RU"/>
        </w:rPr>
        <w:t xml:space="preserve"> </w:t>
      </w:r>
      <w:r w:rsidRPr="00AE6A0F">
        <w:rPr>
          <w:rFonts w:ascii="Times New Roman" w:hAnsi="Times New Roman" w:cs="Times New Roman"/>
          <w:color w:val="ED7D31" w:themeColor="accent2"/>
          <w:sz w:val="24"/>
          <w:szCs w:val="24"/>
        </w:rPr>
        <w:t>Michael</w:t>
      </w:r>
      <w:r w:rsidRPr="00AE6A0F">
        <w:rPr>
          <w:rFonts w:ascii="Times New Roman" w:hAnsi="Times New Roman" w:cs="Times New Roman"/>
          <w:color w:val="ED7D31" w:themeColor="accent2"/>
          <w:sz w:val="24"/>
          <w:szCs w:val="24"/>
          <w:lang w:val="ru-RU"/>
        </w:rPr>
        <w:t xml:space="preserve"> </w:t>
      </w:r>
      <w:r w:rsidR="0043380D">
        <w:rPr>
          <w:rFonts w:ascii="Times New Roman" w:hAnsi="Times New Roman" w:cs="Times New Roman"/>
          <w:color w:val="ED7D31" w:themeColor="accent2"/>
          <w:sz w:val="24"/>
          <w:szCs w:val="24"/>
          <w:lang w:val="ru-RU"/>
        </w:rPr>
        <w:t xml:space="preserve">до 30 июня 2026г. </w:t>
      </w:r>
    </w:p>
    <w:p w14:paraId="094416D8" w14:textId="142D115F" w:rsidR="00C13721" w:rsidRPr="00AE6A0F" w:rsidRDefault="00C13721" w:rsidP="00C137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0C397CE" w14:textId="77777777" w:rsidR="00C13721" w:rsidRPr="00C13721" w:rsidRDefault="00C13721" w:rsidP="00C13721">
      <w:pPr>
        <w:spacing w:after="4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St</w:t>
      </w:r>
      <w:proofErr w:type="spellEnd"/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Michael</w:t>
      </w:r>
      <w:proofErr w:type="spellEnd"/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предлагает партнёрам прогрессивную шкалу комиссионного вознаграждения, которая растёт вместе с вашими результатами.</w:t>
      </w:r>
    </w:p>
    <w:p w14:paraId="2AA38F2E" w14:textId="77777777" w:rsidR="00C13721" w:rsidRPr="00C13721" w:rsidRDefault="00C13721" w:rsidP="00C13721">
      <w:pPr>
        <w:spacing w:before="240" w:after="18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 РАБОТАЕТ СИСТЕМА?</w:t>
      </w:r>
    </w:p>
    <w:p w14:paraId="5FB8AD47" w14:textId="77777777" w:rsidR="00C13721" w:rsidRPr="00C13721" w:rsidRDefault="00C13721" w:rsidP="00C137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Ваша комиссия рассчитывается по общему объёму проданных квадратных метров в рамках одного агентства.</w:t>
      </w:r>
    </w:p>
    <w:p w14:paraId="4ADC6744" w14:textId="77777777" w:rsidR="00C13721" w:rsidRPr="00C13721" w:rsidRDefault="00C13721" w:rsidP="00C13721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расчёт входят оба проекта:</w:t>
      </w:r>
    </w:p>
    <w:p w14:paraId="047279D1" w14:textId="77777777" w:rsidR="00C13721" w:rsidRPr="00C13721" w:rsidRDefault="00C13721" w:rsidP="00C13721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Зорге 9</w:t>
      </w:r>
    </w:p>
    <w:p w14:paraId="36B7FFCC" w14:textId="77777777" w:rsidR="00C13721" w:rsidRPr="00C13721" w:rsidRDefault="00C13721" w:rsidP="00C13721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Квартал Серебряный Бор</w:t>
      </w:r>
    </w:p>
    <w:p w14:paraId="79CCFADF" w14:textId="371F4346" w:rsidR="00C13721" w:rsidRPr="00C13721" w:rsidRDefault="00C13721" w:rsidP="00C137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Период расчёта</w:t>
      </w:r>
    </w:p>
    <w:p w14:paraId="47C12636" w14:textId="3FB02ADF" w:rsidR="00C13721" w:rsidRPr="00C13721" w:rsidRDefault="00C13721" w:rsidP="00C13721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Учитываются сделки, по которым </w:t>
      </w:r>
      <w:r w:rsidR="008906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денежные </w:t>
      </w:r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средства поступили </w:t>
      </w:r>
      <w:r w:rsidRPr="00C137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 1 января 2026 по 30 июня 2026 года.</w:t>
      </w:r>
    </w:p>
    <w:p w14:paraId="57E3C05B" w14:textId="6469716B" w:rsidR="00C13721" w:rsidRPr="00C13721" w:rsidRDefault="00C13721" w:rsidP="00C137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Чем больше квадратных метров вы продаёте, тем выше процент комиссии на сделку.</w:t>
      </w:r>
    </w:p>
    <w:p w14:paraId="57573B9F" w14:textId="77777777" w:rsidR="00C13721" w:rsidRPr="00C13721" w:rsidRDefault="00C13721" w:rsidP="00C13721">
      <w:pPr>
        <w:spacing w:after="4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37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Квадратные метры СУММИРУЮТСЯ по обоим проектам для перехода на следующий уровень.</w:t>
      </w:r>
    </w:p>
    <w:p w14:paraId="2D7A2FF0" w14:textId="69020614" w:rsidR="00936123" w:rsidRPr="00AE6A0F" w:rsidRDefault="00936123" w:rsidP="00C13721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E6A0F">
        <w:rPr>
          <w:rStyle w:val="a4"/>
          <w:rFonts w:ascii="Times New Roman" w:hAnsi="Times New Roman" w:cs="Times New Roman"/>
          <w:color w:val="auto"/>
          <w:sz w:val="24"/>
          <w:szCs w:val="24"/>
          <w:lang w:val="ru-RU"/>
        </w:rPr>
        <w:t>У каждого проекта своя шкала комиссий:</w:t>
      </w:r>
    </w:p>
    <w:p w14:paraId="67AEFA5F" w14:textId="58EC80B0" w:rsidR="00766F9F" w:rsidRPr="00AE6A0F" w:rsidRDefault="00766F9F" w:rsidP="00766F9F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6A0F">
        <w:rPr>
          <w:rFonts w:ascii="Times New Roman" w:hAnsi="Times New Roman" w:cs="Times New Roman"/>
          <w:color w:val="ED7D31" w:themeColor="accent2"/>
          <w:sz w:val="24"/>
          <w:szCs w:val="24"/>
          <w:lang w:val="ru-RU"/>
        </w:rPr>
        <w:t>Зорге 9</w:t>
      </w:r>
    </w:p>
    <w:tbl>
      <w:tblPr>
        <w:tblW w:w="77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997"/>
      </w:tblGrid>
      <w:tr w:rsidR="001B2852" w:rsidRPr="00AE6A0F" w14:paraId="3B0427E7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8DDDFD" w14:textId="77777777" w:rsidR="001B2852" w:rsidRPr="00AE6A0F" w:rsidRDefault="001B2852" w:rsidP="00AE6A0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bookmarkStart w:id="0" w:name="_Hlk221622863"/>
            <w:bookmarkStart w:id="1" w:name="_Hlk221881766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8A0B7A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Объём м² / квартал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E715A0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Ставка</w:t>
            </w:r>
          </w:p>
        </w:tc>
      </w:tr>
      <w:tr w:rsidR="001B2852" w:rsidRPr="00AE6A0F" w14:paraId="3CD45DFB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BAA40" w14:textId="77777777" w:rsidR="001B2852" w:rsidRPr="00AE6A0F" w:rsidRDefault="001B2852" w:rsidP="000F6A0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Start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F3138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0–59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4FEE42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5,0%</w:t>
            </w:r>
          </w:p>
        </w:tc>
      </w:tr>
      <w:tr w:rsidR="001B2852" w:rsidRPr="00AE6A0F" w14:paraId="1BD1DCF2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263D40" w14:textId="77777777" w:rsidR="001B2852" w:rsidRPr="00AE6A0F" w:rsidRDefault="001B2852" w:rsidP="000F6A0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Basic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089CA2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60–119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DF1A2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5,5%</w:t>
            </w:r>
          </w:p>
        </w:tc>
      </w:tr>
      <w:tr w:rsidR="001B2852" w:rsidRPr="00AE6A0F" w14:paraId="420E48C1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15F72B" w14:textId="77777777" w:rsidR="001B2852" w:rsidRPr="00AE6A0F" w:rsidRDefault="001B2852" w:rsidP="000F6A0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Strong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B822DC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120–199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1E1D86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6,0%</w:t>
            </w:r>
          </w:p>
        </w:tc>
      </w:tr>
      <w:tr w:rsidR="001B2852" w:rsidRPr="00AE6A0F" w14:paraId="2FC89A03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9E7E2" w14:textId="77777777" w:rsidR="001B2852" w:rsidRPr="00AE6A0F" w:rsidRDefault="001B2852" w:rsidP="000F6A0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Premium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11A5CA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200–319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12044F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6,5%</w:t>
            </w:r>
          </w:p>
        </w:tc>
      </w:tr>
      <w:tr w:rsidR="001B2852" w:rsidRPr="00AE6A0F" w14:paraId="1933922E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C94479" w14:textId="77777777" w:rsidR="001B2852" w:rsidRPr="00AE6A0F" w:rsidRDefault="001B2852" w:rsidP="000F6A0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Elite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54B88F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320–499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947A6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7,0%</w:t>
            </w:r>
          </w:p>
        </w:tc>
      </w:tr>
      <w:tr w:rsidR="001B2852" w:rsidRPr="00AE6A0F" w14:paraId="14173A39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7BC04E" w14:textId="77777777" w:rsidR="001B2852" w:rsidRPr="00AE6A0F" w:rsidRDefault="001B2852" w:rsidP="000F6A0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Champion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8D691F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500–699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069C9B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7,5%</w:t>
            </w:r>
          </w:p>
        </w:tc>
      </w:tr>
      <w:tr w:rsidR="001B2852" w:rsidRPr="00AE6A0F" w14:paraId="30001D3B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16BD4" w14:textId="77777777" w:rsidR="001B2852" w:rsidRPr="00AE6A0F" w:rsidRDefault="001B2852" w:rsidP="000F6A0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Legend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329D06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700+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ED66E" w14:textId="77777777" w:rsidR="001B2852" w:rsidRPr="00AE6A0F" w:rsidRDefault="001B2852" w:rsidP="000F6A0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8,0%</w:t>
            </w:r>
          </w:p>
        </w:tc>
      </w:tr>
    </w:tbl>
    <w:p w14:paraId="3B736A74" w14:textId="3D2FB84C" w:rsidR="00766F9F" w:rsidRPr="00AE6A0F" w:rsidRDefault="00766F9F" w:rsidP="00766F9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BE1419" w14:textId="305669CF" w:rsidR="00936123" w:rsidRPr="00AE6A0F" w:rsidRDefault="00AE6A0F" w:rsidP="00766F9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b/>
          <w:color w:val="ED7D31" w:themeColor="accent2"/>
          <w:sz w:val="24"/>
          <w:szCs w:val="24"/>
          <w:lang w:val="ru-RU"/>
        </w:rPr>
        <w:t>Квартал Серебряный Бор</w:t>
      </w:r>
    </w:p>
    <w:tbl>
      <w:tblPr>
        <w:tblW w:w="77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997"/>
      </w:tblGrid>
      <w:tr w:rsidR="0059584B" w:rsidRPr="00AE6A0F" w14:paraId="07A6E1A1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10DB32" w14:textId="77777777" w:rsidR="00936123" w:rsidRPr="00AE6A0F" w:rsidRDefault="00936123" w:rsidP="00AE6A0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B5F217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Объём м²/кв.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154FE4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Ставка</w:t>
            </w:r>
          </w:p>
        </w:tc>
      </w:tr>
      <w:tr w:rsidR="0059584B" w:rsidRPr="00AE6A0F" w14:paraId="49597D25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AA472" w14:textId="77777777" w:rsidR="00936123" w:rsidRPr="00AE6A0F" w:rsidRDefault="00936123" w:rsidP="00EA046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Start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F383C8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0–47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134561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5,0%</w:t>
            </w:r>
          </w:p>
        </w:tc>
      </w:tr>
      <w:tr w:rsidR="0059584B" w:rsidRPr="00AE6A0F" w14:paraId="0E95EAAE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22C54B" w14:textId="77777777" w:rsidR="00936123" w:rsidRPr="00AE6A0F" w:rsidRDefault="00936123" w:rsidP="00EA046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Basic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F7815A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48–95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2A0886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5,25%</w:t>
            </w:r>
          </w:p>
        </w:tc>
      </w:tr>
      <w:tr w:rsidR="0059584B" w:rsidRPr="00AE6A0F" w14:paraId="541A429D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8BB34" w14:textId="77777777" w:rsidR="00936123" w:rsidRPr="00AE6A0F" w:rsidRDefault="00936123" w:rsidP="00EA046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Strong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1270E3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96–170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819ABE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5,5%</w:t>
            </w:r>
          </w:p>
        </w:tc>
      </w:tr>
      <w:tr w:rsidR="0059584B" w:rsidRPr="00AE6A0F" w14:paraId="56C2350D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7A67D7" w14:textId="77777777" w:rsidR="00936123" w:rsidRPr="00AE6A0F" w:rsidRDefault="00936123" w:rsidP="00EA046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Premium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EE5EAD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171–279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B2D5D6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5,75%</w:t>
            </w:r>
          </w:p>
        </w:tc>
      </w:tr>
      <w:tr w:rsidR="0059584B" w:rsidRPr="00AE6A0F" w14:paraId="559F7D59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7A2A68" w14:textId="77777777" w:rsidR="00936123" w:rsidRPr="00AE6A0F" w:rsidRDefault="00936123" w:rsidP="00EA046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Elite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B9CD32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280–399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01C2EA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6,0%</w:t>
            </w:r>
          </w:p>
        </w:tc>
      </w:tr>
      <w:tr w:rsidR="0059584B" w:rsidRPr="00AE6A0F" w14:paraId="001C0C86" w14:textId="77777777" w:rsidTr="00AE6A0F"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8A036" w14:textId="77777777" w:rsidR="00936123" w:rsidRPr="00AE6A0F" w:rsidRDefault="00936123" w:rsidP="00EA046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Champion</w:t>
            </w:r>
            <w:proofErr w:type="spellEnd"/>
          </w:p>
        </w:tc>
        <w:tc>
          <w:tcPr>
            <w:tcW w:w="2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473281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  <w:t>400+ м²</w:t>
            </w:r>
          </w:p>
        </w:tc>
        <w:tc>
          <w:tcPr>
            <w:tcW w:w="299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692E26" w14:textId="77777777" w:rsidR="00936123" w:rsidRPr="00AE6A0F" w:rsidRDefault="00936123" w:rsidP="00EA046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/>
              </w:rPr>
            </w:pPr>
            <w:r w:rsidRPr="00AE6A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 w:eastAsia="ru-RU"/>
              </w:rPr>
              <w:t>6,25%</w:t>
            </w:r>
          </w:p>
        </w:tc>
      </w:tr>
    </w:tbl>
    <w:p w14:paraId="70459AE9" w14:textId="77777777" w:rsidR="001449F3" w:rsidRDefault="001449F3" w:rsidP="00C13721">
      <w:pPr>
        <w:pStyle w:val="1"/>
        <w:spacing w:before="240" w:after="240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ru-RU"/>
        </w:rPr>
      </w:pPr>
    </w:p>
    <w:p w14:paraId="513B8ADF" w14:textId="6CF0E31C" w:rsidR="00C13721" w:rsidRPr="00AE6A0F" w:rsidRDefault="00AE6A0F" w:rsidP="00C13721">
      <w:pPr>
        <w:pStyle w:val="1"/>
        <w:spacing w:before="240" w:after="240"/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  <w:lang w:val="ru-RU" w:eastAsia="ru-RU"/>
        </w:rPr>
      </w:pPr>
      <w:r w:rsidRPr="00AE6A0F">
        <w:rPr>
          <w:rFonts w:ascii="Times New Roman" w:hAnsi="Times New Roman" w:cs="Times New Roman"/>
          <w:b w:val="0"/>
          <w:i/>
          <w:color w:val="auto"/>
          <w:sz w:val="24"/>
          <w:szCs w:val="24"/>
          <w:lang w:val="ru-RU"/>
        </w:rPr>
        <w:t>Пример расчета</w:t>
      </w:r>
    </w:p>
    <w:p w14:paraId="68A5E1DA" w14:textId="361CECB6" w:rsidR="00C13721" w:rsidRPr="00AE6A0F" w:rsidRDefault="0059584B" w:rsidP="00C13721">
      <w:pPr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hAnsi="Times New Roman" w:cs="Times New Roman"/>
          <w:i/>
          <w:sz w:val="24"/>
          <w:szCs w:val="24"/>
          <w:lang w:val="ru-RU" w:eastAsia="ru-RU"/>
        </w:rPr>
        <w:t>Показываем,</w:t>
      </w:r>
      <w:r w:rsidR="00C13721" w:rsidRPr="00AE6A0F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как суммируются сделки:</w:t>
      </w:r>
    </w:p>
    <w:p w14:paraId="409686A3" w14:textId="4459506B" w:rsidR="00AE6A0F" w:rsidRPr="00AE6A0F" w:rsidRDefault="00AE6A0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Сделка 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55 м² (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Серебряный Бор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100% оплата) → 5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,25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% → </w:t>
      </w:r>
      <w:r w:rsidR="00C13721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Накоплено 55 м2</w:t>
      </w: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Уровень </w:t>
      </w:r>
      <w:proofErr w:type="spellStart"/>
      <w:r w:rsidR="008906DF" w:rsidRPr="00AE6A0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>Basic</w:t>
      </w:r>
      <w:proofErr w:type="spellEnd"/>
    </w:p>
    <w:p w14:paraId="5DDC1ADF" w14:textId="61D926EC" w:rsidR="00C13721" w:rsidRPr="00C13721" w:rsidRDefault="00AE6A0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Сделка 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81 м² (Зорге 9, ипотека) → 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% → </w:t>
      </w:r>
      <w:r w:rsidR="00C13721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Накоплено 136 м2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(Уровень </w:t>
      </w:r>
      <w:proofErr w:type="spellStart"/>
      <w:r w:rsidR="008906DF" w:rsidRPr="00AE6A0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>Strong</w:t>
      </w:r>
      <w:proofErr w:type="spellEnd"/>
      <w:r w:rsidR="008906D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>)</w:t>
      </w:r>
    </w:p>
    <w:p w14:paraId="719209CB" w14:textId="6D683A61" w:rsidR="00C13721" w:rsidRPr="00C13721" w:rsidRDefault="00AE6A0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Сделка 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28 м² (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Зорге9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100% оплата) → 6% ₽</w:t>
      </w:r>
      <w:r w:rsidR="00C13721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накоплено 164</w:t>
      </w:r>
      <w:r w:rsidR="008906DF" w:rsidRP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906DF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м2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(Уровень </w:t>
      </w:r>
      <w:proofErr w:type="spellStart"/>
      <w:r w:rsidR="008906DF" w:rsidRPr="00AE6A0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>Strong</w:t>
      </w:r>
      <w:proofErr w:type="spellEnd"/>
      <w:r w:rsidR="008906D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>)</w:t>
      </w:r>
    </w:p>
    <w:p w14:paraId="1E0D78B3" w14:textId="529483B0" w:rsidR="00C13721" w:rsidRPr="00AE6A0F" w:rsidRDefault="00AE6A0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Сделка 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67 м² (Зорге 9, ипотека) → 6.5% ₽</w:t>
      </w:r>
      <w:r w:rsidR="00C13721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Накоплено 231</w:t>
      </w:r>
      <w:r w:rsidR="008906DF" w:rsidRPr="008906D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8906DF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м2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Уровень</w:t>
      </w:r>
      <w:r w:rsidR="008906DF" w:rsidRPr="00AE6A0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8906DF" w:rsidRPr="00AE6A0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>Premium</w:t>
      </w:r>
      <w:proofErr w:type="spellEnd"/>
    </w:p>
    <w:p w14:paraId="0B444EF6" w14:textId="3DB51050" w:rsidR="00C13721" w:rsidRPr="00AE6A0F" w:rsidRDefault="00AE6A0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Сделка </w:t>
      </w:r>
      <w:r w:rsidR="00C13721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139,9 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м²</w:t>
      </w:r>
      <w:r w:rsidR="00C13721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(Серебряный Бор, рассрочка) </w:t>
      </w:r>
      <w:r w:rsidR="00C13721" w:rsidRPr="00C137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→</w:t>
      </w:r>
      <w:r w:rsidR="00C13721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5,5% Накоплено 370,9</w:t>
      </w:r>
      <w:r w:rsidR="008906DF" w:rsidRP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906DF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м2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Уровень</w:t>
      </w:r>
      <w:r w:rsidR="008906DF" w:rsidRPr="008906D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8906DF" w:rsidRPr="00AE6A0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>Elite</w:t>
      </w:r>
      <w:proofErr w:type="spellEnd"/>
    </w:p>
    <w:p w14:paraId="650C06A7" w14:textId="70D9FACC" w:rsidR="00C13721" w:rsidRPr="00AE6A0F" w:rsidRDefault="00AE6A0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Сделка </w:t>
      </w:r>
      <w:r w:rsidR="00C13721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69,9(Зорге 9 ипотека) → 7% Накоплено 440 м2</w:t>
      </w:r>
      <w:r w:rsidR="008906D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Уровень</w:t>
      </w:r>
      <w:r w:rsidR="008906DF" w:rsidRPr="00AE6A0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8906DF" w:rsidRPr="00AE6A0F">
        <w:rPr>
          <w:rFonts w:ascii="Times New Roman" w:eastAsia="Arial" w:hAnsi="Times New Roman" w:cs="Times New Roman"/>
          <w:b/>
          <w:bCs/>
          <w:sz w:val="24"/>
          <w:szCs w:val="24"/>
          <w:lang w:val="ru-RU" w:eastAsia="ru-RU"/>
        </w:rPr>
        <w:t>Elite</w:t>
      </w:r>
      <w:proofErr w:type="spellEnd"/>
    </w:p>
    <w:p w14:paraId="5BCFEE6B" w14:textId="7AB921BE" w:rsidR="00AE6A0F" w:rsidRPr="00AE6A0F" w:rsidRDefault="00AE6A0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Максимально </w:t>
      </w:r>
      <w:r w:rsidR="001449F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возможно </w:t>
      </w: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 Зорге 9 – 8%</w:t>
      </w:r>
    </w:p>
    <w:p w14:paraId="25FF6758" w14:textId="6E1AF200" w:rsidR="00AE6A0F" w:rsidRPr="00AE6A0F" w:rsidRDefault="00AE6A0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Квартал Серебряный Бор – 6,25%</w:t>
      </w:r>
    </w:p>
    <w:p w14:paraId="1AC2E02A" w14:textId="70719B21" w:rsidR="00AE6A0F" w:rsidRPr="00AE6A0F" w:rsidRDefault="008906DF" w:rsidP="00C13721">
      <w:pPr>
        <w:spacing w:after="8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Суммируются</w:t>
      </w:r>
      <w:r w:rsidR="00AE6A0F" w:rsidRPr="00AE6A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сделки с 1 января 26 г. до 30 июня 2026 г.</w:t>
      </w:r>
    </w:p>
    <w:p w14:paraId="3FCDBB36" w14:textId="5CB69F59" w:rsidR="00C13721" w:rsidRPr="00AE6A0F" w:rsidRDefault="00C13721" w:rsidP="00C13721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C5D9A6" w14:textId="77777777" w:rsidR="00C13721" w:rsidRPr="00AE6A0F" w:rsidRDefault="00C13721" w:rsidP="00766F9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4BDACE" w14:textId="04358AF9" w:rsidR="00766F9F" w:rsidRPr="00AE6A0F" w:rsidRDefault="00766F9F" w:rsidP="00766F9F">
      <w:pPr>
        <w:rPr>
          <w:rFonts w:ascii="Times New Roman" w:hAnsi="Times New Roman" w:cs="Times New Roman"/>
          <w:b/>
          <w:color w:val="ED7D31" w:themeColor="accent2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b/>
          <w:color w:val="ED7D31" w:themeColor="accent2"/>
          <w:sz w:val="24"/>
          <w:szCs w:val="24"/>
          <w:lang w:val="ru-RU"/>
        </w:rPr>
        <w:t>Квартальный бонус</w:t>
      </w:r>
    </w:p>
    <w:p w14:paraId="5115DB64" w14:textId="5A992D99" w:rsidR="00766F9F" w:rsidRPr="00AE6A0F" w:rsidRDefault="00766F9F" w:rsidP="00766F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 xml:space="preserve">Если партнер находится на уровне </w:t>
      </w:r>
      <w:r w:rsidRPr="00AE6A0F">
        <w:rPr>
          <w:rFonts w:ascii="Times New Roman" w:hAnsi="Times New Roman" w:cs="Times New Roman"/>
          <w:b/>
          <w:sz w:val="24"/>
          <w:szCs w:val="24"/>
        </w:rPr>
        <w:t>Strong</w:t>
      </w:r>
      <w:r w:rsidRPr="00AE6A0F">
        <w:rPr>
          <w:rFonts w:ascii="Times New Roman" w:hAnsi="Times New Roman" w:cs="Times New Roman"/>
          <w:sz w:val="24"/>
          <w:szCs w:val="24"/>
          <w:lang w:val="ru-RU"/>
        </w:rPr>
        <w:t xml:space="preserve"> или выше, то в следующем квартале он получает «Квартальный Бонус» прибавляется на следующий квартал % к комиссии:</w:t>
      </w:r>
    </w:p>
    <w:p w14:paraId="4E8E5AE7" w14:textId="77777777" w:rsidR="00766F9F" w:rsidRPr="00AE6A0F" w:rsidRDefault="00766F9F" w:rsidP="00766F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>1-й квартал → +0,1%</w:t>
      </w:r>
    </w:p>
    <w:p w14:paraId="46422603" w14:textId="77777777" w:rsidR="00766F9F" w:rsidRPr="00AE6A0F" w:rsidRDefault="00766F9F" w:rsidP="00766F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>2-й квартал подряд → +0,15%</w:t>
      </w:r>
    </w:p>
    <w:p w14:paraId="72B90F9D" w14:textId="77777777" w:rsidR="00766F9F" w:rsidRPr="00AE6A0F" w:rsidRDefault="00766F9F" w:rsidP="00766F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>3-й квартал подряд → +0,2%</w:t>
      </w:r>
    </w:p>
    <w:p w14:paraId="4098E1A9" w14:textId="77777777" w:rsidR="00766F9F" w:rsidRPr="00AE6A0F" w:rsidRDefault="00766F9F" w:rsidP="00766F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>4+ кварталов подряд → +0,25% (максимум)</w:t>
      </w:r>
    </w:p>
    <w:p w14:paraId="4415F253" w14:textId="6ADFEDE5" w:rsidR="00766F9F" w:rsidRPr="00AE6A0F" w:rsidRDefault="00766F9F" w:rsidP="00766F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>Если в квартале нет продаж — счетчик бонусных кварталов обнуляется.</w:t>
      </w:r>
    </w:p>
    <w:p w14:paraId="2BB667C6" w14:textId="029CB50F" w:rsidR="00766F9F" w:rsidRPr="00AE6A0F" w:rsidRDefault="00766F9F" w:rsidP="00766F9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b/>
          <w:sz w:val="24"/>
          <w:szCs w:val="24"/>
          <w:lang w:val="ru-RU"/>
        </w:rPr>
        <w:t>Специальное предложение:</w:t>
      </w:r>
    </w:p>
    <w:p w14:paraId="18FE4381" w14:textId="623EF8B0" w:rsidR="00766F9F" w:rsidRPr="00AE6A0F" w:rsidRDefault="00766F9F" w:rsidP="00766F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 xml:space="preserve">За год продуктивной работы (Минимально одна сделка в раз в 2 месяца): бонус </w:t>
      </w:r>
      <w:r w:rsidRPr="00AE6A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брокеру </w:t>
      </w:r>
      <w:r w:rsidRPr="00AE6A0F">
        <w:rPr>
          <w:rFonts w:ascii="Times New Roman" w:hAnsi="Times New Roman" w:cs="Times New Roman"/>
          <w:sz w:val="24"/>
          <w:szCs w:val="24"/>
          <w:lang w:val="ru-RU"/>
        </w:rPr>
        <w:t xml:space="preserve">100,000₽ +памятный кубок </w:t>
      </w:r>
    </w:p>
    <w:bookmarkEnd w:id="0"/>
    <w:bookmarkEnd w:id="1"/>
    <w:p w14:paraId="73B93FCD" w14:textId="045683E1" w:rsidR="00766F9F" w:rsidRPr="00AE6A0F" w:rsidRDefault="00766F9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944201" w14:textId="49530EB9" w:rsidR="00342F59" w:rsidRPr="00AE6A0F" w:rsidRDefault="00342F59" w:rsidP="00342F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>*** В рамках одного агентства (одно юридическое лицо)</w:t>
      </w:r>
    </w:p>
    <w:p w14:paraId="1268AA06" w14:textId="0411B536" w:rsidR="00342F59" w:rsidRDefault="00342F59" w:rsidP="00342F5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sz w:val="24"/>
          <w:szCs w:val="24"/>
          <w:lang w:val="ru-RU"/>
        </w:rPr>
        <w:t xml:space="preserve">Полные условия сотрудничества прописаны в кабинете брокера. </w:t>
      </w:r>
    </w:p>
    <w:p w14:paraId="366180DB" w14:textId="559919CA" w:rsidR="00AE6A0F" w:rsidRDefault="00AE6A0F" w:rsidP="00342F59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</w:p>
    <w:p w14:paraId="6D7F381E" w14:textId="77777777" w:rsidR="00AE6A0F" w:rsidRPr="00AE6A0F" w:rsidRDefault="00AE6A0F" w:rsidP="00342F5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01CE33E" w14:textId="47A0A9CC" w:rsidR="00AE6A0F" w:rsidRPr="00AE6A0F" w:rsidRDefault="00AE6A0F" w:rsidP="00342F59">
      <w:pPr>
        <w:rPr>
          <w:rFonts w:ascii="Times New Roman" w:hAnsi="Times New Roman" w:cs="Times New Roman"/>
          <w:b/>
          <w:color w:val="ED7D31" w:themeColor="accent2"/>
          <w:sz w:val="24"/>
          <w:szCs w:val="24"/>
          <w:lang w:val="ru-RU"/>
        </w:rPr>
      </w:pPr>
      <w:r w:rsidRPr="00AE6A0F">
        <w:rPr>
          <w:rFonts w:ascii="Times New Roman" w:hAnsi="Times New Roman" w:cs="Times New Roman"/>
          <w:b/>
          <w:color w:val="ED7D31" w:themeColor="accent2"/>
          <w:sz w:val="24"/>
          <w:szCs w:val="24"/>
          <w:lang w:val="ru-RU"/>
        </w:rPr>
        <w:lastRenderedPageBreak/>
        <w:t>Бонус за быструю сделку + 0,1%</w:t>
      </w:r>
    </w:p>
    <w:p w14:paraId="5071964E" w14:textId="77777777" w:rsidR="00AE6A0F" w:rsidRPr="00AE6A0F" w:rsidRDefault="00AE6A0F" w:rsidP="00AE6A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Условия:</w:t>
      </w:r>
    </w:p>
    <w:p w14:paraId="30A01C8F" w14:textId="77777777" w:rsidR="00AE6A0F" w:rsidRPr="00AE6A0F" w:rsidRDefault="00AE6A0F" w:rsidP="00AE6A0F">
      <w:pPr>
        <w:numPr>
          <w:ilvl w:val="0"/>
          <w:numId w:val="2"/>
        </w:num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даты заявки на клиента до постановки платной брони проходит НЕ БОЛЕЕ 10 рабочих дней</w:t>
      </w:r>
    </w:p>
    <w:p w14:paraId="097454D9" w14:textId="77777777" w:rsidR="00AE6A0F" w:rsidRPr="00AE6A0F" w:rsidRDefault="00AE6A0F" w:rsidP="00AE6A0F">
      <w:pPr>
        <w:numPr>
          <w:ilvl w:val="0"/>
          <w:numId w:val="2"/>
        </w:num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Бонус добавляется к вашей комиссии</w:t>
      </w:r>
    </w:p>
    <w:p w14:paraId="4EE7B377" w14:textId="77777777" w:rsidR="00AE6A0F" w:rsidRPr="00AE6A0F" w:rsidRDefault="00AE6A0F" w:rsidP="00AE6A0F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Действует на все проекты</w:t>
      </w:r>
    </w:p>
    <w:p w14:paraId="29DCC3A2" w14:textId="4B47105D" w:rsidR="00AE6A0F" w:rsidRPr="00AE6A0F" w:rsidRDefault="00AE6A0F" w:rsidP="00AE6A0F">
      <w:pPr>
        <w:spacing w:after="4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Пример: Ваша комиссия 6% → с бонусом 6,1 %</w:t>
      </w:r>
    </w:p>
    <w:p w14:paraId="004B926F" w14:textId="6E3D6D36" w:rsidR="00AE6A0F" w:rsidRPr="00AE6A0F" w:rsidRDefault="00AE6A0F" w:rsidP="00AE6A0F">
      <w:pPr>
        <w:spacing w:after="4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D46F58" w14:textId="5CCB1145" w:rsidR="00AE6A0F" w:rsidRPr="00AE6A0F" w:rsidRDefault="00AE6A0F" w:rsidP="00AE6A0F">
      <w:pPr>
        <w:spacing w:before="240" w:after="180" w:line="240" w:lineRule="auto"/>
        <w:outlineLvl w:val="1"/>
        <w:rPr>
          <w:rFonts w:ascii="Times New Roman" w:eastAsia="Times New Roman" w:hAnsi="Times New Roman" w:cs="Times New Roman"/>
          <w:color w:val="2E74B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E26B0A"/>
          <w:sz w:val="24"/>
          <w:szCs w:val="24"/>
          <w:lang w:val="ru-RU" w:eastAsia="ru-RU"/>
        </w:rPr>
        <w:t>Условия</w:t>
      </w:r>
      <w:r w:rsidR="008906DF">
        <w:rPr>
          <w:rFonts w:ascii="Times New Roman" w:eastAsia="Times New Roman" w:hAnsi="Times New Roman" w:cs="Times New Roman"/>
          <w:b/>
          <w:bCs/>
          <w:color w:val="E26B0A"/>
          <w:sz w:val="24"/>
          <w:szCs w:val="24"/>
          <w:lang w:val="ru-RU" w:eastAsia="ru-RU"/>
        </w:rPr>
        <w:t xml:space="preserve"> выплаты при</w:t>
      </w:r>
      <w:r>
        <w:rPr>
          <w:rFonts w:ascii="Times New Roman" w:eastAsia="Times New Roman" w:hAnsi="Times New Roman" w:cs="Times New Roman"/>
          <w:b/>
          <w:bCs/>
          <w:color w:val="E26B0A"/>
          <w:sz w:val="24"/>
          <w:szCs w:val="24"/>
          <w:lang w:val="ru-RU" w:eastAsia="ru-RU"/>
        </w:rPr>
        <w:t xml:space="preserve"> рассроч</w:t>
      </w:r>
      <w:r w:rsidR="008906DF">
        <w:rPr>
          <w:rFonts w:ascii="Times New Roman" w:eastAsia="Times New Roman" w:hAnsi="Times New Roman" w:cs="Times New Roman"/>
          <w:b/>
          <w:bCs/>
          <w:color w:val="E26B0A"/>
          <w:sz w:val="24"/>
          <w:szCs w:val="24"/>
          <w:lang w:val="ru-RU" w:eastAsia="ru-RU"/>
        </w:rPr>
        <w:t>ках</w:t>
      </w:r>
    </w:p>
    <w:p w14:paraId="01AE48ED" w14:textId="4805C85D" w:rsidR="00AE6A0F" w:rsidRPr="00AE6A0F" w:rsidRDefault="00AE6A0F" w:rsidP="00AE6A0F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Квартал Серебряный Бор</w:t>
      </w:r>
    </w:p>
    <w:p w14:paraId="1330B1CE" w14:textId="6DB63223" w:rsidR="00AE6A0F" w:rsidRPr="00AE6A0F" w:rsidRDefault="00AE6A0F" w:rsidP="00AE6A0F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Размер комиссии:</w:t>
      </w:r>
    </w:p>
    <w:p w14:paraId="4E21D81E" w14:textId="77777777" w:rsidR="00AE6A0F" w:rsidRPr="00AE6A0F" w:rsidRDefault="00AE6A0F" w:rsidP="00AE6A0F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рассрочке: −0.5% от базовой ставки</w:t>
      </w:r>
    </w:p>
    <w:p w14:paraId="036CDE27" w14:textId="77777777" w:rsidR="00AE6A0F" w:rsidRPr="00AE6A0F" w:rsidRDefault="00AE6A0F" w:rsidP="00AE6A0F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Порядок выплаты:</w:t>
      </w:r>
    </w:p>
    <w:p w14:paraId="02933D30" w14:textId="77777777" w:rsidR="00AE6A0F" w:rsidRPr="00AE6A0F" w:rsidRDefault="00AE6A0F" w:rsidP="00AE6A0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ПВ более 30% от суммы договора → Комиссия выплачивается полностью и единовременно</w:t>
      </w:r>
    </w:p>
    <w:p w14:paraId="659F04B2" w14:textId="77777777" w:rsidR="00AE6A0F" w:rsidRPr="00AE6A0F" w:rsidRDefault="00AE6A0F" w:rsidP="00AE6A0F">
      <w:pPr>
        <w:numPr>
          <w:ilvl w:val="0"/>
          <w:numId w:val="2"/>
        </w:num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ПВ менее 30% от суммы договора → Комиссия выплачивается в 2 этапа:</w:t>
      </w:r>
    </w:p>
    <w:p w14:paraId="20840B97" w14:textId="77777777" w:rsidR="00AE6A0F" w:rsidRPr="00AE6A0F" w:rsidRDefault="00AE6A0F" w:rsidP="00AE6A0F">
      <w:pPr>
        <w:spacing w:after="6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1-й этап: пропорционально фактической оплате</w:t>
      </w:r>
    </w:p>
    <w:p w14:paraId="04BD720E" w14:textId="2E073102" w:rsidR="00AE6A0F" w:rsidRPr="00AE6A0F" w:rsidRDefault="00AE6A0F" w:rsidP="00AE6A0F">
      <w:pPr>
        <w:spacing w:after="4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2-й этап: после поступления 30% от договора</w:t>
      </w:r>
    </w:p>
    <w:p w14:paraId="6CA49201" w14:textId="77777777" w:rsidR="00AE6A0F" w:rsidRPr="00AE6A0F" w:rsidRDefault="00AE6A0F" w:rsidP="00AE6A0F">
      <w:pPr>
        <w:spacing w:after="4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Субсидированная ипотека</w:t>
      </w:r>
    </w:p>
    <w:p w14:paraId="6E26F2D0" w14:textId="52539C6B" w:rsidR="00AE6A0F" w:rsidRPr="00AE6A0F" w:rsidRDefault="00AE6A0F" w:rsidP="00AE6A0F">
      <w:pPr>
        <w:spacing w:after="4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Комиссионное вознаграждение: 4%*</w:t>
      </w:r>
    </w:p>
    <w:p w14:paraId="5EFD757D" w14:textId="79182CAD" w:rsidR="00AE6A0F" w:rsidRPr="00AE6A0F" w:rsidRDefault="00AE6A0F" w:rsidP="00AE6A0F">
      <w:pPr>
        <w:spacing w:after="4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*Проданные м2 идут в общий зачет. Итоговый расчёт может меняться в зависимости от суммы субсидии. Уточняйте у менеджера отдела продаж.</w:t>
      </w:r>
    </w:p>
    <w:p w14:paraId="543A6EF8" w14:textId="5435C95C" w:rsidR="00AE6A0F" w:rsidRPr="00AE6A0F" w:rsidRDefault="00AE6A0F" w:rsidP="00AE6A0F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Зорге 9</w:t>
      </w:r>
    </w:p>
    <w:p w14:paraId="4A41B778" w14:textId="705050D8" w:rsidR="00AE6A0F" w:rsidRPr="00AE6A0F" w:rsidRDefault="00AE6A0F" w:rsidP="00AE6A0F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Размер комиссии:</w:t>
      </w:r>
    </w:p>
    <w:p w14:paraId="56285740" w14:textId="77777777" w:rsidR="00AE6A0F" w:rsidRPr="00AE6A0F" w:rsidRDefault="00AE6A0F" w:rsidP="00AE6A0F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рассрочке: −0.5% от базовой ставки</w:t>
      </w:r>
    </w:p>
    <w:p w14:paraId="64A8183A" w14:textId="77777777" w:rsidR="00AE6A0F" w:rsidRPr="00AE6A0F" w:rsidRDefault="00AE6A0F" w:rsidP="00AE6A0F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Порядок выплаты:</w:t>
      </w:r>
    </w:p>
    <w:p w14:paraId="1FB64B14" w14:textId="77777777" w:rsidR="00AE6A0F" w:rsidRPr="00AE6A0F" w:rsidRDefault="00AE6A0F" w:rsidP="00AE6A0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ПВ более 50% от суммы договора → Комиссия выплачивается полностью и единовременно</w:t>
      </w:r>
    </w:p>
    <w:p w14:paraId="2F6B0839" w14:textId="77777777" w:rsidR="00AE6A0F" w:rsidRPr="00AE6A0F" w:rsidRDefault="00AE6A0F" w:rsidP="00AE6A0F">
      <w:pPr>
        <w:numPr>
          <w:ilvl w:val="0"/>
          <w:numId w:val="2"/>
        </w:num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ПВ менее 50% от суммы договора → Комиссия выплачивается в 2 этапа:</w:t>
      </w:r>
    </w:p>
    <w:p w14:paraId="382730E6" w14:textId="77777777" w:rsidR="00AE6A0F" w:rsidRPr="00AE6A0F" w:rsidRDefault="00AE6A0F" w:rsidP="00AE6A0F">
      <w:pPr>
        <w:spacing w:after="6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1-й этап: пропорционально фактической оплате</w:t>
      </w:r>
    </w:p>
    <w:p w14:paraId="528BB840" w14:textId="796F043B" w:rsidR="00AE6A0F" w:rsidRDefault="00AE6A0F" w:rsidP="00AE6A0F">
      <w:pPr>
        <w:spacing w:after="4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2-й этап: после поступления 50% от договора</w:t>
      </w:r>
    </w:p>
    <w:p w14:paraId="33023815" w14:textId="77777777" w:rsidR="008906DF" w:rsidRPr="00AE6A0F" w:rsidRDefault="008906DF" w:rsidP="00AE6A0F">
      <w:pPr>
        <w:spacing w:after="4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F10307" w14:textId="11487F91" w:rsidR="00AE6A0F" w:rsidRPr="00AE6A0F" w:rsidRDefault="00AE6A0F" w:rsidP="00AE6A0F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06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Коммерческая недвижимость Зорге9</w:t>
      </w:r>
    </w:p>
    <w:p w14:paraId="390DCF60" w14:textId="77777777" w:rsidR="00AE6A0F" w:rsidRPr="00AE6A0F" w:rsidRDefault="00AE6A0F" w:rsidP="00AE6A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ПРОДАЖА:</w:t>
      </w:r>
    </w:p>
    <w:p w14:paraId="61D979AE" w14:textId="77777777" w:rsidR="00AE6A0F" w:rsidRPr="00AE6A0F" w:rsidRDefault="00AE6A0F" w:rsidP="00AE6A0F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Коммерческие помещения → 3%</w:t>
      </w:r>
    </w:p>
    <w:p w14:paraId="6F1DEB6A" w14:textId="25529340" w:rsidR="00AE6A0F" w:rsidRPr="00AE6A0F" w:rsidRDefault="00AE6A0F" w:rsidP="00AE6A0F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Фитнес-центр → 3%</w:t>
      </w:r>
    </w:p>
    <w:p w14:paraId="69DD2E3A" w14:textId="77777777" w:rsidR="00AE6A0F" w:rsidRPr="00AE6A0F" w:rsidRDefault="00AE6A0F" w:rsidP="00AE6A0F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Отдельно стоящие здания → 2%</w:t>
      </w:r>
    </w:p>
    <w:p w14:paraId="6543567D" w14:textId="77777777" w:rsidR="00AE6A0F" w:rsidRPr="00AE6A0F" w:rsidRDefault="00AE6A0F" w:rsidP="00AE6A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АРЕНДА:</w:t>
      </w:r>
    </w:p>
    <w:p w14:paraId="6359D712" w14:textId="77777777" w:rsidR="00AE6A0F" w:rsidRPr="00AE6A0F" w:rsidRDefault="00AE6A0F" w:rsidP="00AE6A0F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Ритейл → 100% от месячного платежа</w:t>
      </w:r>
    </w:p>
    <w:p w14:paraId="089CA954" w14:textId="6BE7D337" w:rsidR="00AE6A0F" w:rsidRPr="00AE6A0F" w:rsidRDefault="00AE6A0F" w:rsidP="00AE6A0F">
      <w:pPr>
        <w:numPr>
          <w:ilvl w:val="0"/>
          <w:numId w:val="2"/>
        </w:numPr>
        <w:spacing w:after="4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Фитнес/Офис → 50% от месячного платежа</w:t>
      </w:r>
    </w:p>
    <w:p w14:paraId="379EE46F" w14:textId="77777777" w:rsidR="00AE6A0F" w:rsidRPr="00AE6A0F" w:rsidRDefault="00AE6A0F" w:rsidP="00AE6A0F">
      <w:pPr>
        <w:spacing w:after="40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459395FF" w14:textId="0F3D346E" w:rsidR="00AE6A0F" w:rsidRPr="00AE6A0F" w:rsidRDefault="00AE6A0F" w:rsidP="00AE6A0F">
      <w:pPr>
        <w:spacing w:after="40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6A0F">
        <w:rPr>
          <w:rFonts w:ascii="Times New Roman" w:hAnsi="Times New Roman" w:cs="Times New Roman"/>
          <w:i/>
          <w:sz w:val="24"/>
          <w:szCs w:val="24"/>
          <w:lang w:val="ru-RU"/>
        </w:rPr>
        <w:t>При согласовании дополнительных скидок вознаграждение может уменьшаться: • При согласовании (сверх) дополнительной скидки или при согласовании нестандартных условий по рассрочке, что может привести к потерям прибыли застройщика, процент вознаграждения брокера может уменьшаться. Данный пункт не применяется в одностороннем порядке; менеджер отдела продаж всегда согласовывает условия с брокером. Для того чтобы избежать применения этого пункта, необходимо реализовывать объекты на условиях застройщика.</w:t>
      </w:r>
    </w:p>
    <w:p w14:paraId="799EC58E" w14:textId="2B9494B7" w:rsidR="00AE6A0F" w:rsidRDefault="00AE6A0F" w:rsidP="00342F59">
      <w:pPr>
        <w:rPr>
          <w:rFonts w:ascii="Times New Roman" w:hAnsi="Times New Roman" w:cs="Times New Roman"/>
          <w:b/>
          <w:color w:val="ED7D31" w:themeColor="accent2"/>
          <w:sz w:val="24"/>
          <w:szCs w:val="24"/>
          <w:lang w:val="ru-RU"/>
        </w:rPr>
      </w:pPr>
    </w:p>
    <w:p w14:paraId="53267BE0" w14:textId="31A7E31D" w:rsidR="00AE6A0F" w:rsidRPr="008906DF" w:rsidRDefault="00AE6A0F" w:rsidP="00AE6A0F">
      <w:pPr>
        <w:spacing w:before="40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E6A0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КОНТАКТЫ</w:t>
      </w:r>
    </w:p>
    <w:p w14:paraId="10C08EB4" w14:textId="79255866" w:rsidR="00AE6A0F" w:rsidRDefault="00AE6A0F" w:rsidP="00AE6A0F">
      <w:pPr>
        <w:spacing w:before="400" w:after="24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0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Горячая линия по работе с </w:t>
      </w:r>
      <w:r w:rsidR="008906DF" w:rsidRPr="00890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партнёрами</w:t>
      </w:r>
      <w:r w:rsidR="00890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работает каждый день с 9:00 до 21:00.</w:t>
      </w:r>
    </w:p>
    <w:p w14:paraId="28BD363F" w14:textId="3369B5C5" w:rsidR="008906DF" w:rsidRPr="001449F3" w:rsidRDefault="008906DF" w:rsidP="00AE6A0F">
      <w:pPr>
        <w:spacing w:before="400" w:after="24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0F">
        <w:rPr>
          <w:rFonts w:ascii="Segoe UI Emoji" w:eastAsia="Times New Roman" w:hAnsi="Segoe UI Emoji" w:cs="Segoe UI Emoji"/>
          <w:sz w:val="20"/>
          <w:szCs w:val="20"/>
          <w:lang w:val="ru-RU" w:eastAsia="ru-RU"/>
        </w:rPr>
        <w:t>📞</w:t>
      </w:r>
      <w:r w:rsidRPr="0014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+7 499 226 22 49</w:t>
      </w:r>
    </w:p>
    <w:p w14:paraId="0F2FDB04" w14:textId="77777777" w:rsidR="008906DF" w:rsidRPr="00AE6A0F" w:rsidRDefault="008906DF" w:rsidP="008906DF">
      <w:pPr>
        <w:spacing w:after="4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A0F">
        <w:rPr>
          <w:rFonts w:ascii="Segoe UI Emoji" w:eastAsia="Times New Roman" w:hAnsi="Segoe UI Emoji" w:cs="Segoe UI Emoji"/>
          <w:sz w:val="20"/>
          <w:szCs w:val="20"/>
          <w:lang w:val="ru-RU" w:eastAsia="ru-RU"/>
        </w:rPr>
        <w:t>💬</w:t>
      </w:r>
      <w:r w:rsidRPr="00AE6A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Telegram: @</w:t>
      </w:r>
      <w:proofErr w:type="spellStart"/>
      <w:r w:rsidRPr="00AE6A0F">
        <w:rPr>
          <w:rFonts w:ascii="Times New Roman" w:eastAsia="Times New Roman" w:hAnsi="Times New Roman" w:cs="Times New Roman"/>
          <w:sz w:val="20"/>
          <w:szCs w:val="20"/>
          <w:lang w:eastAsia="ru-RU"/>
        </w:rPr>
        <w:t>stmichaelBroker</w:t>
      </w:r>
      <w:proofErr w:type="spellEnd"/>
    </w:p>
    <w:p w14:paraId="02F1BEC2" w14:textId="77777777" w:rsidR="008906DF" w:rsidRPr="008906DF" w:rsidRDefault="008906DF" w:rsidP="00AE6A0F">
      <w:pPr>
        <w:spacing w:before="400" w:after="24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B2861" w14:textId="77777777" w:rsidR="00AE6A0F" w:rsidRPr="00AE6A0F" w:rsidRDefault="00AE6A0F" w:rsidP="00AE6A0F">
      <w:pPr>
        <w:spacing w:after="8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A0F">
        <w:rPr>
          <w:rFonts w:ascii="Times New Roman" w:eastAsia="Times New Roman" w:hAnsi="Times New Roman" w:cs="Times New Roman"/>
          <w:b/>
          <w:bCs/>
          <w:lang w:val="ru-RU" w:eastAsia="ru-RU"/>
        </w:rPr>
        <w:t>Ксения</w:t>
      </w:r>
      <w:r w:rsidRPr="00AE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6A0F">
        <w:rPr>
          <w:rFonts w:ascii="Times New Roman" w:eastAsia="Times New Roman" w:hAnsi="Times New Roman" w:cs="Times New Roman"/>
          <w:b/>
          <w:bCs/>
          <w:lang w:val="ru-RU" w:eastAsia="ru-RU"/>
        </w:rPr>
        <w:t>Цепляева</w:t>
      </w:r>
    </w:p>
    <w:p w14:paraId="57F8C935" w14:textId="77777777" w:rsidR="00AE6A0F" w:rsidRPr="00AE6A0F" w:rsidRDefault="00AE6A0F" w:rsidP="00AE6A0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E6A0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Руководитель отдела по работе с партнёрами</w:t>
      </w:r>
    </w:p>
    <w:p w14:paraId="7E4BEA64" w14:textId="77777777" w:rsidR="00AE6A0F" w:rsidRPr="00AE6A0F" w:rsidRDefault="00AE6A0F" w:rsidP="00AE6A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E6A0F">
        <w:rPr>
          <w:rFonts w:ascii="Segoe UI Emoji" w:eastAsia="Times New Roman" w:hAnsi="Segoe UI Emoji" w:cs="Segoe UI Emoji"/>
          <w:sz w:val="20"/>
          <w:szCs w:val="20"/>
          <w:lang w:val="ru-RU" w:eastAsia="ru-RU"/>
        </w:rPr>
        <w:t>📞</w:t>
      </w:r>
      <w:r w:rsidRPr="00AE6A0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+7 (906) 061-78-00</w:t>
      </w:r>
    </w:p>
    <w:p w14:paraId="7E19F137" w14:textId="77777777" w:rsidR="00AE6A0F" w:rsidRPr="00AE6A0F" w:rsidRDefault="00AE6A0F" w:rsidP="00342F59">
      <w:pPr>
        <w:rPr>
          <w:rFonts w:ascii="Times New Roman" w:hAnsi="Times New Roman" w:cs="Times New Roman"/>
          <w:b/>
          <w:color w:val="ED7D31" w:themeColor="accent2"/>
          <w:sz w:val="24"/>
          <w:szCs w:val="24"/>
          <w:lang w:val="ru-RU"/>
        </w:rPr>
      </w:pPr>
    </w:p>
    <w:sectPr w:rsidR="00AE6A0F" w:rsidRPr="00AE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C5F88"/>
    <w:multiLevelType w:val="hybridMultilevel"/>
    <w:tmpl w:val="607E2BD8"/>
    <w:lvl w:ilvl="0" w:tplc="5ADE68D0">
      <w:start w:val="1"/>
      <w:numFmt w:val="bullet"/>
      <w:lvlText w:val="•"/>
      <w:lvlJc w:val="left"/>
      <w:pPr>
        <w:ind w:left="720" w:hanging="360"/>
      </w:pPr>
    </w:lvl>
    <w:lvl w:ilvl="1" w:tplc="76C83708">
      <w:numFmt w:val="decimal"/>
      <w:lvlText w:val=""/>
      <w:lvlJc w:val="left"/>
    </w:lvl>
    <w:lvl w:ilvl="2" w:tplc="92F66FA0">
      <w:numFmt w:val="decimal"/>
      <w:lvlText w:val=""/>
      <w:lvlJc w:val="left"/>
    </w:lvl>
    <w:lvl w:ilvl="3" w:tplc="AC1AD132">
      <w:numFmt w:val="decimal"/>
      <w:lvlText w:val=""/>
      <w:lvlJc w:val="left"/>
    </w:lvl>
    <w:lvl w:ilvl="4" w:tplc="207E0514">
      <w:numFmt w:val="decimal"/>
      <w:lvlText w:val=""/>
      <w:lvlJc w:val="left"/>
    </w:lvl>
    <w:lvl w:ilvl="5" w:tplc="2FFAE782">
      <w:numFmt w:val="decimal"/>
      <w:lvlText w:val=""/>
      <w:lvlJc w:val="left"/>
    </w:lvl>
    <w:lvl w:ilvl="6" w:tplc="01B02726">
      <w:numFmt w:val="decimal"/>
      <w:lvlText w:val=""/>
      <w:lvlJc w:val="left"/>
    </w:lvl>
    <w:lvl w:ilvl="7" w:tplc="5FD863C6">
      <w:numFmt w:val="decimal"/>
      <w:lvlText w:val=""/>
      <w:lvlJc w:val="left"/>
    </w:lvl>
    <w:lvl w:ilvl="8" w:tplc="FCD4D4BA">
      <w:numFmt w:val="decimal"/>
      <w:lvlText w:val=""/>
      <w:lvlJc w:val="left"/>
    </w:lvl>
  </w:abstractNum>
  <w:abstractNum w:abstractNumId="1" w15:restartNumberingAfterBreak="0">
    <w:nsid w:val="31DF0371"/>
    <w:multiLevelType w:val="multilevel"/>
    <w:tmpl w:val="549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0099A"/>
    <w:multiLevelType w:val="multilevel"/>
    <w:tmpl w:val="0B1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221F5"/>
    <w:multiLevelType w:val="multilevel"/>
    <w:tmpl w:val="E1E0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A4"/>
    <w:rsid w:val="000F6A06"/>
    <w:rsid w:val="001449F3"/>
    <w:rsid w:val="001B2852"/>
    <w:rsid w:val="002049C1"/>
    <w:rsid w:val="00342F59"/>
    <w:rsid w:val="00362B0C"/>
    <w:rsid w:val="0043380D"/>
    <w:rsid w:val="005770D0"/>
    <w:rsid w:val="0059584B"/>
    <w:rsid w:val="00693706"/>
    <w:rsid w:val="00766F9F"/>
    <w:rsid w:val="008906DF"/>
    <w:rsid w:val="00936123"/>
    <w:rsid w:val="00AE6A0F"/>
    <w:rsid w:val="00C13721"/>
    <w:rsid w:val="00CA2BA4"/>
    <w:rsid w:val="00CE2D35"/>
    <w:rsid w:val="00E12C14"/>
    <w:rsid w:val="00E2648F"/>
    <w:rsid w:val="00F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8988"/>
  <w15:chartTrackingRefBased/>
  <w15:docId w15:val="{561917FA-56B1-4582-86A1-355CD373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123"/>
    <w:pPr>
      <w:spacing w:after="200" w:line="276" w:lineRule="auto"/>
    </w:pPr>
    <w:rPr>
      <w:rFonts w:ascii="Calibri" w:eastAsiaTheme="minorEastAsia" w:hAnsi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66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6F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6F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F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6F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66F9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table" w:styleId="a3">
    <w:name w:val="Table Grid"/>
    <w:basedOn w:val="a1"/>
    <w:uiPriority w:val="59"/>
    <w:rsid w:val="00766F9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a"/>
    <w:rsid w:val="0093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36123"/>
    <w:rPr>
      <w:b/>
      <w:bCs/>
    </w:rPr>
  </w:style>
  <w:style w:type="paragraph" w:customStyle="1" w:styleId="whitespace-normal">
    <w:name w:val="whitespace-normal"/>
    <w:basedOn w:val="a"/>
    <w:rsid w:val="0093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Цепляева</dc:creator>
  <cp:keywords/>
  <dc:description/>
  <cp:lastModifiedBy>Ксения Цепляева</cp:lastModifiedBy>
  <cp:revision>8</cp:revision>
  <dcterms:created xsi:type="dcterms:W3CDTF">2026-03-26T10:40:00Z</dcterms:created>
  <dcterms:modified xsi:type="dcterms:W3CDTF">2026-04-02T15:15:00Z</dcterms:modified>
</cp:coreProperties>
</file>